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79D8B" w14:textId="77777777" w:rsidR="00EC1E98" w:rsidRDefault="00000000">
      <w:pPr>
        <w:rPr>
          <w:rFonts w:ascii="Trebuchet MS" w:hAnsi="Trebuchet MS"/>
          <w:b/>
          <w:bCs/>
          <w:sz w:val="32"/>
          <w:szCs w:val="32"/>
          <w:u w:val="single"/>
        </w:rPr>
      </w:pPr>
      <w:r>
        <w:rPr>
          <w:rFonts w:ascii="Trebuchet MS" w:hAnsi="Trebuchet MS"/>
          <w:b/>
          <w:bCs/>
          <w:sz w:val="32"/>
          <w:szCs w:val="32"/>
          <w:u w:val="single"/>
        </w:rPr>
        <w:t>Note de positionnement de la FNCCR en vue de la discussion au Sénat du projet de loi visant à renforcer l’Etat local</w:t>
      </w:r>
    </w:p>
    <w:p w14:paraId="2AC3B7B6" w14:textId="77777777" w:rsidR="00EC1E98" w:rsidRDefault="00EC1E98">
      <w:pPr>
        <w:rPr>
          <w:rFonts w:ascii="Trebuchet MS" w:hAnsi="Trebuchet MS"/>
          <w:b/>
          <w:bCs/>
        </w:rPr>
      </w:pPr>
    </w:p>
    <w:p w14:paraId="316B8F45" w14:textId="77777777" w:rsidR="00EC1E98" w:rsidRDefault="00000000">
      <w:pPr>
        <w:jc w:val="both"/>
        <w:rPr>
          <w:rFonts w:ascii="Times New Roman" w:eastAsia="Times New Roman" w:hAnsi="Times New Roman" w:cs="Times New Roman"/>
          <w:b/>
          <w:bCs/>
          <w:color w:val="000000"/>
          <w:sz w:val="27"/>
          <w:szCs w:val="27"/>
          <w:lang w:eastAsia="fr-FR"/>
          <w14:ligatures w14:val="none"/>
        </w:rPr>
      </w:pPr>
      <w:r>
        <w:rPr>
          <w:rFonts w:ascii="Trebuchet MS" w:hAnsi="Trebuchet MS"/>
          <w:b/>
          <w:bCs/>
        </w:rPr>
        <w:t>Rappel :</w:t>
      </w:r>
      <w:r>
        <w:rPr>
          <w:rFonts w:ascii="Times New Roman" w:eastAsia="Times New Roman" w:hAnsi="Times New Roman" w:cs="Times New Roman"/>
          <w:b/>
          <w:bCs/>
          <w:color w:val="000000"/>
          <w:sz w:val="27"/>
          <w:szCs w:val="27"/>
          <w:lang w:eastAsia="fr-FR"/>
          <w14:ligatures w14:val="none"/>
        </w:rPr>
        <w:t xml:space="preserve"> </w:t>
      </w:r>
      <w:r>
        <w:rPr>
          <w:rFonts w:ascii="Trebuchet MS" w:hAnsi="Trebuchet MS"/>
          <w:b/>
          <w:bCs/>
        </w:rPr>
        <w:t>un texte né dans la difficulté et très mal accueilli par la plupart des associations de collectivités territoriales</w:t>
      </w:r>
    </w:p>
    <w:p w14:paraId="06640EDB" w14:textId="77777777" w:rsidR="00EC1E98" w:rsidRDefault="00000000">
      <w:pPr>
        <w:jc w:val="both"/>
        <w:rPr>
          <w:rFonts w:ascii="Trebuchet MS" w:hAnsi="Trebuchet MS"/>
        </w:rPr>
      </w:pPr>
      <w:r>
        <w:rPr>
          <w:rFonts w:ascii="Trebuchet MS" w:hAnsi="Trebuchet MS"/>
        </w:rPr>
        <w:t>Le dépôt au Sénat le 20 mai dernier du projet de loi</w:t>
      </w:r>
      <w:r>
        <w:t xml:space="preserve"> </w:t>
      </w:r>
      <w:r>
        <w:rPr>
          <w:rFonts w:ascii="Trebuchet MS" w:hAnsi="Trebuchet MS"/>
        </w:rPr>
        <w:t xml:space="preserve">visant à renforcer l'État local, articuler son action avec les collectivités territoriales et sécuriser les décideurs publics marque l’aboutissement d’un processus initié en septembre 2025, avec le lancement d’un nouvel acte de décentralisation par le Premier ministre aussitôt après sa nomination. Ce texte était initialement attendu pour la fin de l’année 2025 mais sa présentation a été retardée à plusieurs reprises. Après diverses hésitations, le texte finalement présenté par le gouvernement a très mal été accueilli par la plupart des associations de collectivités, AMF et DF en tête, qui voient dans celui-ci un acte de recentralisation et non de décentralisation. </w:t>
      </w:r>
    </w:p>
    <w:p w14:paraId="479A914B" w14:textId="77777777" w:rsidR="00EC1E98" w:rsidRDefault="00000000">
      <w:pPr>
        <w:jc w:val="both"/>
        <w:rPr>
          <w:rFonts w:ascii="Trebuchet MS" w:hAnsi="Trebuchet MS"/>
        </w:rPr>
      </w:pPr>
      <w:r>
        <w:rPr>
          <w:rFonts w:ascii="Trebuchet MS" w:hAnsi="Trebuchet MS"/>
        </w:rPr>
        <w:t>Ces associations demandent la suppression de plusieurs articles du projet de loi, notamment l’article 5 relatif à la création d’une conférence départementale des réseaux (CDR), qui devra se réunir au moins deux fois par an à l’initiative du préfet et sous sa présidence, afin d’évoquer l’organisation territoriale des compétences relatives à l’eau et à l’assainissement, à l’énergie et aux technologies numériques. Cette conférence aura notamment pour missions d’apprécier la cohérence de l’exercice de ces compétences et de leurs modalités de financement dans le département, eu égard aux contraintes géographiques, organisationnelles, techniques et administratives propres au territoire concerné, et de formuler le cas échéant des propositions visant à renforcer la mutualisation et la coopération dans l’exercice des compétences concernées, à l’échelle du département.</w:t>
      </w:r>
    </w:p>
    <w:p w14:paraId="0FC4CAC2" w14:textId="77777777" w:rsidR="00EC1E98" w:rsidRDefault="00EC1E98">
      <w:pPr>
        <w:jc w:val="both"/>
        <w:rPr>
          <w:rFonts w:ascii="Trebuchet MS" w:hAnsi="Trebuchet MS"/>
        </w:rPr>
      </w:pPr>
    </w:p>
    <w:p w14:paraId="0BA32628" w14:textId="77777777" w:rsidR="00EC1E98" w:rsidRDefault="00000000">
      <w:pPr>
        <w:pStyle w:val="Paragraphedeliste"/>
        <w:numPr>
          <w:ilvl w:val="0"/>
          <w:numId w:val="6"/>
        </w:numPr>
        <w:jc w:val="both"/>
        <w:rPr>
          <w:rFonts w:ascii="Trebuchet MS" w:hAnsi="Trebuchet MS"/>
          <w:sz w:val="24"/>
          <w:szCs w:val="24"/>
        </w:rPr>
      </w:pPr>
      <w:r>
        <w:rPr>
          <w:rFonts w:ascii="Trebuchet MS" w:hAnsi="Trebuchet MS"/>
          <w:b/>
          <w:bCs/>
          <w:sz w:val="24"/>
          <w:szCs w:val="24"/>
          <w:u w:val="single"/>
        </w:rPr>
        <w:t xml:space="preserve">La création de la conférence départementale des réseaux constitue un acte de recentralisation, et l’éventualité qu’elle soit co-présidée par le président du Conseil départemental ne modifie en rien ce constat </w:t>
      </w:r>
    </w:p>
    <w:p w14:paraId="0CFB906B" w14:textId="77777777" w:rsidR="00EC1E98" w:rsidRDefault="00000000">
      <w:pPr>
        <w:pStyle w:val="Paragraphedeliste"/>
        <w:jc w:val="both"/>
        <w:rPr>
          <w:rFonts w:ascii="Trebuchet MS" w:hAnsi="Trebuchet MS"/>
        </w:rPr>
      </w:pPr>
      <w:r>
        <w:rPr>
          <w:rFonts w:ascii="Trebuchet MS" w:hAnsi="Trebuchet MS"/>
          <w:b/>
          <w:bCs/>
          <w:u w:val="single"/>
        </w:rPr>
        <w:t xml:space="preserve"> </w:t>
      </w:r>
    </w:p>
    <w:p w14:paraId="29E02214" w14:textId="77777777" w:rsidR="00EC1E98" w:rsidRDefault="00000000">
      <w:pPr>
        <w:jc w:val="both"/>
        <w:rPr>
          <w:rFonts w:ascii="Trebuchet MS" w:hAnsi="Trebuchet MS"/>
        </w:rPr>
      </w:pPr>
      <w:r>
        <w:rPr>
          <w:rFonts w:ascii="Trebuchet MS" w:hAnsi="Trebuchet MS"/>
        </w:rPr>
        <w:t xml:space="preserve">Réunies dans le cadre du conseil national d’évaluation des normes (CNEN), les associations de collectivités territoriales (AMF, Départements de France et Régions de France) ont accueilli défavorablement le projet de loi visant à renforcer l’Etat local et ont demandé la </w:t>
      </w:r>
      <w:r>
        <w:rPr>
          <w:rFonts w:ascii="Trebuchet MS" w:hAnsi="Trebuchet MS"/>
          <w:u w:val="single"/>
        </w:rPr>
        <w:t>suppression de plusieurs articles de ce texte, dont l’article 5</w:t>
      </w:r>
      <w:r>
        <w:rPr>
          <w:rFonts w:ascii="Trebuchet MS" w:hAnsi="Trebuchet MS"/>
        </w:rPr>
        <w:t xml:space="preserve">.  </w:t>
      </w:r>
    </w:p>
    <w:p w14:paraId="16881E81" w14:textId="77777777" w:rsidR="00EC1E98" w:rsidRDefault="00000000">
      <w:pPr>
        <w:jc w:val="both"/>
        <w:rPr>
          <w:rFonts w:ascii="Trebuchet MS" w:hAnsi="Trebuchet MS"/>
        </w:rPr>
      </w:pPr>
      <w:r>
        <w:rPr>
          <w:rFonts w:ascii="Trebuchet MS" w:hAnsi="Trebuchet MS"/>
        </w:rPr>
        <w:t>Il est vrai que la rédaction de cet article 5 s’écarte en définitive assez fortement du projet initial. La CDR serait présidée par le représentant de l’Etat et non pas co-présidée par le préfet et le président du Conseil départemental comme envisagé un temps, ce qui tend à accréditer l’idée d’une recentralisation des compétences dans le secteur de la distribution d’énergie. Le département serait donc simplement membre de la CDR, au même titre que les représentants des AODE, des gestionnaires de réseaux et des services de l’Etat lorsque celle-ci se réunit dans le secteur de l’énergie.</w:t>
      </w:r>
    </w:p>
    <w:p w14:paraId="7F06E80B" w14:textId="77777777" w:rsidR="00EC1E98" w:rsidRDefault="00000000">
      <w:pPr>
        <w:jc w:val="both"/>
        <w:rPr>
          <w:rFonts w:ascii="Trebuchet MS" w:hAnsi="Trebuchet MS"/>
        </w:rPr>
      </w:pPr>
      <w:r>
        <w:rPr>
          <w:rFonts w:ascii="Trebuchet MS" w:hAnsi="Trebuchet MS"/>
        </w:rPr>
        <w:t>Départements de France est opposé à ce que la nouvelle conférence soit présidée par le préfet et demande que la présidence revienne au conseil départemental. Si le gouvernement décidait d’accéder au moins en partie à cette demande, par exemple en rétablissant la co-présidence initialement envisagée, il est alors loisible d’imaginer que Départements de France pourrait se rallier à l’article 5.</w:t>
      </w:r>
    </w:p>
    <w:p w14:paraId="4700DC24" w14:textId="77777777" w:rsidR="00EC1E98" w:rsidRDefault="00000000">
      <w:pPr>
        <w:shd w:val="clear" w:color="auto" w:fill="D9D9D9" w:themeFill="background1" w:themeFillShade="D9"/>
        <w:jc w:val="both"/>
        <w:rPr>
          <w:rFonts w:ascii="Trebuchet MS" w:hAnsi="Trebuchet MS"/>
          <w:b/>
          <w:bCs/>
        </w:rPr>
      </w:pPr>
      <w:r>
        <w:rPr>
          <w:rFonts w:ascii="Trebuchet MS" w:hAnsi="Trebuchet MS"/>
          <w:b/>
          <w:bCs/>
          <w:u w:val="single"/>
        </w:rPr>
        <w:lastRenderedPageBreak/>
        <w:t>A RETENIR</w:t>
      </w:r>
      <w:r>
        <w:rPr>
          <w:rFonts w:ascii="Trebuchet MS" w:hAnsi="Trebuchet MS"/>
          <w:b/>
          <w:bCs/>
        </w:rPr>
        <w:t xml:space="preserve"> :  la FNCCR est opposée à l’article 5 dès lors que sa rédaction comporte un dispositif de recentralisation de la programmation des investissements sur les réseaux de distribution d’énergie. Si la rédaction de cet article devait évoluer à la faveur du débat parlementaire afin que la CDR ne soit plus présidée par le préfet seul mais co-présidée par le représentant du conseil départemental, il ne faut pas perdre de vue que cela ne changerait strictement rien à ce constat. </w:t>
      </w:r>
    </w:p>
    <w:p w14:paraId="070A2B85" w14:textId="77777777" w:rsidR="00EC1E98" w:rsidRDefault="00EC1E98">
      <w:pPr>
        <w:jc w:val="both"/>
        <w:rPr>
          <w:rFonts w:ascii="Trebuchet MS" w:hAnsi="Trebuchet MS"/>
          <w:b/>
          <w:bCs/>
          <w:sz w:val="24"/>
          <w:szCs w:val="24"/>
        </w:rPr>
      </w:pPr>
    </w:p>
    <w:p w14:paraId="2C344A03" w14:textId="77777777" w:rsidR="00EC1E98" w:rsidRDefault="00000000">
      <w:pPr>
        <w:pStyle w:val="Paragraphedeliste"/>
        <w:numPr>
          <w:ilvl w:val="0"/>
          <w:numId w:val="6"/>
        </w:numPr>
        <w:jc w:val="both"/>
        <w:rPr>
          <w:rFonts w:ascii="Trebuchet MS" w:hAnsi="Trebuchet MS"/>
          <w:sz w:val="24"/>
          <w:szCs w:val="24"/>
        </w:rPr>
      </w:pPr>
      <w:r>
        <w:rPr>
          <w:rFonts w:ascii="Trebuchet MS" w:hAnsi="Trebuchet MS"/>
          <w:b/>
          <w:bCs/>
          <w:sz w:val="24"/>
          <w:szCs w:val="24"/>
          <w:u w:val="single"/>
        </w:rPr>
        <w:t xml:space="preserve">Une absence de transfert de compétences qui masque mal une volonté d’ingérence de l’Etat et de mise sous tutelle de certaines prérogatives que le législateur attribue aux autorités organisatrices des réseaux de distribution d’électricité et de gaz </w:t>
      </w:r>
    </w:p>
    <w:p w14:paraId="6D080D82" w14:textId="77777777" w:rsidR="00EC1E98" w:rsidRDefault="00EC1E98">
      <w:pPr>
        <w:jc w:val="both"/>
        <w:rPr>
          <w:rFonts w:ascii="Trebuchet MS" w:hAnsi="Trebuchet MS"/>
        </w:rPr>
      </w:pPr>
    </w:p>
    <w:p w14:paraId="68FB2BCF" w14:textId="77777777" w:rsidR="00EC1E98" w:rsidRDefault="00000000">
      <w:pPr>
        <w:jc w:val="both"/>
        <w:rPr>
          <w:rFonts w:ascii="Trebuchet MS" w:hAnsi="Trebuchet MS"/>
        </w:rPr>
      </w:pPr>
      <w:r>
        <w:rPr>
          <w:rFonts w:ascii="Trebuchet MS" w:hAnsi="Trebuchet MS"/>
        </w:rPr>
        <w:t>A chaque fois qu’ils ont été interpellés, les membres du Gouvernement (nous seulement Mme Françoise GATEL mais également Mme Maud BREGEON, ministre chargée de l’énergie) n’ont pas cessé de marteler que les syndicats d’énergie et plus largement l’ensemble des AODE s’inquiètent inutilement car le projet de loi visant à renforcer l’Etat local ne prévoit aucun transfert des compétences en matière de distribution d’énergie, qui resteront par conséquent exercées par les collectivités du bloc communal (les communes et leurs groupements).</w:t>
      </w:r>
    </w:p>
    <w:p w14:paraId="06CCA082" w14:textId="77777777" w:rsidR="00EC1E98" w:rsidRDefault="00000000">
      <w:pPr>
        <w:jc w:val="both"/>
        <w:rPr>
          <w:rFonts w:ascii="Trebuchet MS" w:hAnsi="Trebuchet MS"/>
          <w:i/>
          <w:iCs/>
        </w:rPr>
      </w:pPr>
      <w:r>
        <w:rPr>
          <w:rFonts w:ascii="Trebuchet MS" w:hAnsi="Trebuchet MS"/>
        </w:rPr>
        <w:t xml:space="preserve">Dans plusieurs réponses récemment publiées à des questions écrites posés par des députés ou des sénateurs, la Ministre de l'aménagement du territoire et de la décentralisation écrit ainsi : «  </w:t>
      </w:r>
      <w:r>
        <w:rPr>
          <w:rFonts w:ascii="Trebuchet MS" w:hAnsi="Trebuchet MS"/>
          <w:i/>
          <w:iCs/>
        </w:rPr>
        <w:t xml:space="preserve">Dans le cadre du futur projet de loi visant à renforcer l'État local, articuler son action avec les collectivités territoriales et sécuriser les décideurs publics, le Gouvernement entend surtout renforcer le rôle de coordination à l'échelon départementale en matière de réseaux (eau, énergie, technologies numériques), par la création d'une conférence départementale des réseaux. Cette conférence, qui a vocation à être présidée par le préfet, constituera un espace de réflexion et de concertation entre élus et partenaires concernés afin d'échanger sur l'organisation des compétences et les projets portés au service du territoire. Ses membres pourront ainsi identifier ce qui fonctionne et ce qui mérite d'être ajusté dans une approche partenariale et concertée. Le Gouvernement n'a donc pas pour projet de remettre en cause la répartition actuelle dans l'exercice des compétences. </w:t>
      </w:r>
      <w:r>
        <w:rPr>
          <w:rFonts w:ascii="Trebuchet MS" w:hAnsi="Trebuchet MS"/>
          <w:i/>
          <w:iCs/>
          <w:u w:val="single"/>
        </w:rPr>
        <w:t>Il s'agit avant tout de renforcer l'efficacité de l'action publique et l'efficience de l'organisation territoriale, sans préjudice des compétences déjà attribuées par la loi aux collectivités territoriales. La compétence d'autorité organisatrice de distribution d'électricité (AODE) notamment restera exercée par les communes et les établissements publics de coopération intercommunale en application de l'article L.2224-31 du CGCT, ou par le département s'il exerçait déjà cette compétence à la date de publication de la loi n° 2004-803 du 9 août 2004</w:t>
      </w:r>
      <w:r>
        <w:rPr>
          <w:rFonts w:ascii="Trebuchet MS" w:hAnsi="Trebuchet MS"/>
          <w:i/>
          <w:iCs/>
        </w:rPr>
        <w:t>. Les AODE conserveront la liberté de mettre en place l'organisation qu'elles jugent pertinentes, par exemple en confiant l'exploitation des réseaux publics d'électricité à un syndicat départemental, comme c'est le cas dans de nombreux départements aujourd'hui. »</w:t>
      </w:r>
    </w:p>
    <w:p w14:paraId="73365BD0" w14:textId="77777777" w:rsidR="00EC1E98" w:rsidRDefault="00000000">
      <w:pPr>
        <w:jc w:val="both"/>
        <w:rPr>
          <w:rFonts w:ascii="Trebuchet MS" w:hAnsi="Trebuchet MS"/>
        </w:rPr>
      </w:pPr>
      <w:r>
        <w:rPr>
          <w:rFonts w:ascii="Trebuchet MS" w:hAnsi="Trebuchet MS"/>
          <w:b/>
          <w:bCs/>
        </w:rPr>
        <w:br/>
      </w:r>
      <w:r>
        <w:rPr>
          <w:rFonts w:ascii="Trebuchet MS" w:hAnsi="Trebuchet MS"/>
          <w:b/>
          <w:bCs/>
          <w:u w:val="single"/>
          <w:shd w:val="clear" w:color="auto" w:fill="D9D9D9" w:themeFill="background1" w:themeFillShade="D9"/>
        </w:rPr>
        <w:t>A RETENIR</w:t>
      </w:r>
      <w:r>
        <w:rPr>
          <w:rFonts w:ascii="Trebuchet MS" w:hAnsi="Trebuchet MS"/>
          <w:b/>
          <w:bCs/>
          <w:shd w:val="clear" w:color="auto" w:fill="D9D9D9" w:themeFill="background1" w:themeFillShade="D9"/>
        </w:rPr>
        <w:t> : L’absence de tout transfert de compétences constitue un leurre sur le plan juridique, qui ne doit surtout pas faire oublier ou minimiser l’objectif stratégique de mise sous tutelle des AODE par les services de l’Etat dans le cadre de la nouvelle conférence départementale des réseaux.</w:t>
      </w:r>
    </w:p>
    <w:p w14:paraId="076D2A6F" w14:textId="77777777" w:rsidR="00EC1E98" w:rsidRDefault="00EC1E98">
      <w:pPr>
        <w:jc w:val="both"/>
        <w:rPr>
          <w:rFonts w:ascii="Trebuchet MS" w:hAnsi="Trebuchet MS"/>
        </w:rPr>
      </w:pPr>
    </w:p>
    <w:p w14:paraId="02019F26" w14:textId="77777777" w:rsidR="00EC1E98" w:rsidRDefault="00000000">
      <w:pPr>
        <w:pStyle w:val="Paragraphedeliste"/>
        <w:numPr>
          <w:ilvl w:val="0"/>
          <w:numId w:val="6"/>
        </w:numPr>
        <w:jc w:val="both"/>
        <w:rPr>
          <w:rFonts w:ascii="Trebuchet MS" w:hAnsi="Trebuchet MS"/>
          <w:b/>
          <w:bCs/>
          <w:sz w:val="24"/>
          <w:szCs w:val="24"/>
          <w:u w:val="single"/>
        </w:rPr>
      </w:pPr>
      <w:r>
        <w:rPr>
          <w:rFonts w:ascii="Trebuchet MS" w:hAnsi="Trebuchet MS"/>
          <w:b/>
          <w:bCs/>
          <w:sz w:val="24"/>
          <w:szCs w:val="24"/>
          <w:u w:val="single"/>
        </w:rPr>
        <w:t xml:space="preserve">Une critique largement infondée et non argumentée sur l’absence d’homogénéité des syndicats d’énergie et le manque de performance de certains d’entre eux </w:t>
      </w:r>
    </w:p>
    <w:p w14:paraId="13431879" w14:textId="77777777" w:rsidR="00EC1E98" w:rsidRDefault="00EC1E98">
      <w:pPr>
        <w:pStyle w:val="Paragraphedeliste"/>
        <w:jc w:val="both"/>
        <w:rPr>
          <w:rFonts w:ascii="Trebuchet MS" w:hAnsi="Trebuchet MS"/>
          <w:sz w:val="24"/>
          <w:szCs w:val="24"/>
        </w:rPr>
      </w:pPr>
    </w:p>
    <w:p w14:paraId="100E9F1F" w14:textId="77777777" w:rsidR="00EC1E98" w:rsidRDefault="00000000">
      <w:pPr>
        <w:jc w:val="both"/>
        <w:rPr>
          <w:rFonts w:ascii="Trebuchet MS" w:hAnsi="Trebuchet MS"/>
        </w:rPr>
      </w:pPr>
      <w:r>
        <w:rPr>
          <w:rFonts w:ascii="Trebuchet MS" w:hAnsi="Trebuchet MS"/>
        </w:rPr>
        <w:t>Mme GATEL a exprimé à plusieurs reprises des réserves en pointant le manque d’homogénéité des syndicats d’énergie. Selon elle, le fonctionnement de ces syndicats ne peut pas être considéré comme satisfaisant dans tous les départements et une telle situation n’a pas vocation à perdurer, d’où les propositions du gouvernement visant à améliorer l’efficacité de l’action publique et l’efficience de l’organisation territoriale de la distribution d’électricité et de gaz sur le territoire.</w:t>
      </w:r>
    </w:p>
    <w:p w14:paraId="1BFB257B" w14:textId="77777777" w:rsidR="00EC1E98" w:rsidRDefault="00000000">
      <w:pPr>
        <w:jc w:val="both"/>
        <w:rPr>
          <w:rFonts w:ascii="Trebuchet MS" w:hAnsi="Trebuchet MS"/>
        </w:rPr>
      </w:pPr>
      <w:r>
        <w:rPr>
          <w:rFonts w:ascii="Trebuchet MS" w:hAnsi="Trebuchet MS"/>
          <w:u w:val="single"/>
        </w:rPr>
        <w:t>Toutefois, on ne sait absolument rien des critères d’appréciation sur lesquels le gouvernement s’appuie apparemment pour déterminer si un syndicat d’énergie est efficace ou pas</w:t>
      </w:r>
      <w:r>
        <w:rPr>
          <w:rFonts w:ascii="Trebuchet MS" w:hAnsi="Trebuchet MS"/>
        </w:rPr>
        <w:t xml:space="preserve">. On ne connaît donc ni donc la proportion de syndicats qui sont censés ne pas fonctionner de manière satisfaisante aux yeux de l’Etat, ni ce qui leur est reproché précisément. </w:t>
      </w:r>
    </w:p>
    <w:p w14:paraId="0CD9A286" w14:textId="77777777" w:rsidR="00EC1E98" w:rsidRDefault="00000000">
      <w:pPr>
        <w:jc w:val="both"/>
        <w:rPr>
          <w:rFonts w:ascii="Trebuchet MS" w:hAnsi="Trebuchet MS"/>
        </w:rPr>
      </w:pPr>
      <w:r>
        <w:rPr>
          <w:rFonts w:ascii="Trebuchet MS" w:hAnsi="Trebuchet MS"/>
        </w:rPr>
        <w:t xml:space="preserve">En attendant, </w:t>
      </w:r>
      <w:r>
        <w:rPr>
          <w:rFonts w:ascii="Trebuchet MS" w:hAnsi="Trebuchet MS"/>
          <w:u w:val="single"/>
        </w:rPr>
        <w:t>la CDR a vocation à être créée et à fonctionner à l’identique dans tous les départements, quelles que soient les performances des syndicats d’énergie</w:t>
      </w:r>
      <w:r>
        <w:rPr>
          <w:rFonts w:ascii="Trebuchet MS" w:hAnsi="Trebuchet MS"/>
        </w:rPr>
        <w:t xml:space="preserve">. </w:t>
      </w:r>
    </w:p>
    <w:p w14:paraId="143CA30F" w14:textId="77777777" w:rsidR="00EC1E98" w:rsidRDefault="00000000">
      <w:pPr>
        <w:jc w:val="both"/>
        <w:rPr>
          <w:rFonts w:ascii="Trebuchet MS" w:hAnsi="Trebuchet MS"/>
        </w:rPr>
      </w:pPr>
      <w:r>
        <w:rPr>
          <w:rFonts w:ascii="Trebuchet MS" w:hAnsi="Trebuchet MS"/>
        </w:rPr>
        <w:t>Sur ce point, deux observations peuvent être faites en complément :</w:t>
      </w:r>
    </w:p>
    <w:p w14:paraId="754828A6" w14:textId="77777777" w:rsidR="00EC1E98" w:rsidRDefault="00000000">
      <w:pPr>
        <w:pStyle w:val="Paragraphedeliste"/>
        <w:numPr>
          <w:ilvl w:val="0"/>
          <w:numId w:val="4"/>
        </w:numPr>
        <w:jc w:val="both"/>
        <w:rPr>
          <w:rFonts w:ascii="Trebuchet MS" w:hAnsi="Trebuchet MS"/>
        </w:rPr>
      </w:pPr>
      <w:r>
        <w:rPr>
          <w:rFonts w:ascii="Trebuchet MS" w:hAnsi="Trebuchet MS"/>
        </w:rPr>
        <w:t>Il existe actuellement dans deux tiers des départements un syndicat d’énergie de grande taille au sens où celui-ci regroupe l’ensemble des communes desservies par ENEDIS et porte ainsi, à l’aide des moyens – humains et financiers – qui lui sont alloués, la solidarité territoriale qui permet d’empêcher l’apparition d’une facture électrique sur les réseaux de distribution d’électricité en zone rurale.</w:t>
      </w:r>
    </w:p>
    <w:p w14:paraId="6C4C5CF7" w14:textId="77777777" w:rsidR="00EC1E98" w:rsidRDefault="00EC1E98">
      <w:pPr>
        <w:pStyle w:val="Paragraphedeliste"/>
        <w:jc w:val="both"/>
        <w:rPr>
          <w:rFonts w:ascii="Trebuchet MS" w:hAnsi="Trebuchet MS"/>
        </w:rPr>
      </w:pPr>
    </w:p>
    <w:p w14:paraId="489768E4" w14:textId="77777777" w:rsidR="00EC1E98" w:rsidRDefault="00000000">
      <w:pPr>
        <w:pStyle w:val="Paragraphedeliste"/>
        <w:numPr>
          <w:ilvl w:val="0"/>
          <w:numId w:val="4"/>
        </w:numPr>
        <w:jc w:val="both"/>
        <w:rPr>
          <w:rFonts w:ascii="Trebuchet MS" w:hAnsi="Trebuchet MS"/>
        </w:rPr>
      </w:pPr>
      <w:r>
        <w:rPr>
          <w:rFonts w:ascii="Trebuchet MS" w:hAnsi="Trebuchet MS"/>
        </w:rPr>
        <w:t xml:space="preserve">Comparativement, les deux départements (le Loiret et a Sarthe) qui exercent la compétence d’AOD d’électricité  - à titre dérogatoire étant donné que, depuis une loi adoptée en 2004, les départements ne sont plus habilités à prendre cette compétence -  sont très en retard et moins efficaces que les syndicats d’énergie pour la mise en </w:t>
      </w:r>
      <w:proofErr w:type="spellStart"/>
      <w:r>
        <w:rPr>
          <w:rFonts w:ascii="Trebuchet MS" w:hAnsi="Trebuchet MS"/>
        </w:rPr>
        <w:t>oeuvre</w:t>
      </w:r>
      <w:proofErr w:type="spellEnd"/>
      <w:r>
        <w:rPr>
          <w:rFonts w:ascii="Trebuchet MS" w:hAnsi="Trebuchet MS"/>
        </w:rPr>
        <w:t xml:space="preserve"> de la transition énergétique sur leur territoire, comme un rapport publié fin 2024 l’a montré (« </w:t>
      </w:r>
      <w:r>
        <w:rPr>
          <w:rFonts w:ascii="Trebuchet MS" w:hAnsi="Trebuchet MS"/>
          <w:i/>
          <w:iCs/>
        </w:rPr>
        <w:t>les réseaux électriques au défi de la transition énergétique : quatre cas illustratifs</w:t>
      </w:r>
      <w:r>
        <w:rPr>
          <w:rFonts w:ascii="Trebuchet MS" w:hAnsi="Trebuchet MS"/>
        </w:rPr>
        <w:t> », rapport de la Chambre régionale des comptes Pays de la Loire publié en novembre 2024).  </w:t>
      </w:r>
    </w:p>
    <w:p w14:paraId="739FC1BA" w14:textId="77777777" w:rsidR="00EC1E98" w:rsidRDefault="00EC1E98">
      <w:pPr>
        <w:pStyle w:val="Paragraphedeliste"/>
        <w:jc w:val="both"/>
        <w:rPr>
          <w:rFonts w:ascii="Trebuchet MS" w:hAnsi="Trebuchet MS"/>
        </w:rPr>
      </w:pPr>
    </w:p>
    <w:p w14:paraId="52D7E0AC" w14:textId="77777777" w:rsidR="00EC1E98" w:rsidRDefault="00000000">
      <w:pPr>
        <w:jc w:val="both"/>
        <w:rPr>
          <w:rFonts w:ascii="Trebuchet MS" w:hAnsi="Trebuchet MS"/>
          <w:b/>
          <w:bCs/>
        </w:rPr>
      </w:pPr>
      <w:r>
        <w:rPr>
          <w:rFonts w:ascii="Trebuchet MS" w:hAnsi="Trebuchet MS"/>
          <w:b/>
          <w:bCs/>
          <w:u w:val="single"/>
          <w:shd w:val="clear" w:color="auto" w:fill="D9D9D9" w:themeFill="background1" w:themeFillShade="D9"/>
        </w:rPr>
        <w:t>A RETENIR</w:t>
      </w:r>
      <w:r>
        <w:rPr>
          <w:rFonts w:ascii="Trebuchet MS" w:hAnsi="Trebuchet MS"/>
          <w:b/>
          <w:bCs/>
          <w:shd w:val="clear" w:color="auto" w:fill="D9D9D9" w:themeFill="background1" w:themeFillShade="D9"/>
        </w:rPr>
        <w:t> : si historiquement les départements ont joué un rôle dans l’électrification rurale du pays, aujourd’hui ils n’interviennent plus dans ce domaine (hormis dans les deux cas précités), que ce soit pour contribuer au financement des travaux sur leurs fonds propres ou accompagner les communes qui ne disposent pas de l’ingénierie nécessaire. Alors qu’ils perçoivent toujours une part de l’accise sur l’électricité payée par les consommateurs, cette imposition n’est plus reversée aux syndicats d’énergie (à une ou deux exceptions près), ce qui signifie que les départements conservent quasiment l’intégralité du produit de cette ressource, qu’ils utilisent pour financer d’autres dépenses en rapport avec l’exercice leurs compétences</w:t>
      </w:r>
      <w:r>
        <w:rPr>
          <w:rFonts w:ascii="Trebuchet MS" w:hAnsi="Trebuchet MS"/>
          <w:b/>
          <w:bCs/>
        </w:rPr>
        <w:t xml:space="preserve">.  </w:t>
      </w:r>
    </w:p>
    <w:p w14:paraId="3ED31A19" w14:textId="77777777" w:rsidR="00EC1E98" w:rsidRDefault="00EC1E98">
      <w:pPr>
        <w:jc w:val="both"/>
        <w:rPr>
          <w:rFonts w:ascii="Trebuchet MS" w:hAnsi="Trebuchet MS"/>
        </w:rPr>
      </w:pPr>
    </w:p>
    <w:p w14:paraId="439D1556" w14:textId="77777777" w:rsidR="00EC1E98" w:rsidRDefault="00000000">
      <w:pPr>
        <w:pStyle w:val="Paragraphedeliste"/>
        <w:numPr>
          <w:ilvl w:val="0"/>
          <w:numId w:val="6"/>
        </w:numPr>
        <w:tabs>
          <w:tab w:val="left" w:pos="284"/>
        </w:tabs>
        <w:jc w:val="both"/>
        <w:rPr>
          <w:rFonts w:ascii="Trebuchet MS" w:hAnsi="Trebuchet MS"/>
          <w:b/>
          <w:bCs/>
          <w:sz w:val="24"/>
          <w:szCs w:val="24"/>
          <w:u w:val="single"/>
        </w:rPr>
      </w:pPr>
      <w:r>
        <w:rPr>
          <w:rFonts w:ascii="Trebuchet MS" w:hAnsi="Trebuchet MS"/>
          <w:b/>
          <w:bCs/>
          <w:sz w:val="24"/>
          <w:szCs w:val="24"/>
          <w:u w:val="single"/>
        </w:rPr>
        <w:lastRenderedPageBreak/>
        <w:t xml:space="preserve">Pour le Conseil d’Etat, un article 5 aux objectifs dépourvus de tout caractère normatif, qui aurait dû inciter le gouvernement à le retirer pour faire preuve de « sobriété législative » </w:t>
      </w:r>
    </w:p>
    <w:p w14:paraId="7C485F6D" w14:textId="77777777" w:rsidR="00EC1E98" w:rsidRDefault="00EC1E98">
      <w:pPr>
        <w:jc w:val="both"/>
        <w:rPr>
          <w:rFonts w:ascii="Trebuchet MS" w:hAnsi="Trebuchet MS"/>
        </w:rPr>
      </w:pPr>
    </w:p>
    <w:p w14:paraId="7F81DAF8" w14:textId="77777777" w:rsidR="00EC1E98" w:rsidRDefault="00000000">
      <w:pPr>
        <w:jc w:val="both"/>
        <w:rPr>
          <w:rFonts w:ascii="Trebuchet MS" w:hAnsi="Trebuchet MS"/>
        </w:rPr>
      </w:pPr>
      <w:r>
        <w:rPr>
          <w:rFonts w:ascii="Trebuchet MS" w:hAnsi="Trebuchet MS"/>
        </w:rPr>
        <w:t xml:space="preserve">Dans son avis, le Conseil d’Etat a exprimé de sérieuses réserves à l’égard de l’article 5. Il a ainsi constaté que « </w:t>
      </w:r>
      <w:r>
        <w:rPr>
          <w:rFonts w:ascii="Trebuchet MS" w:hAnsi="Trebuchet MS"/>
          <w:i/>
          <w:iCs/>
        </w:rPr>
        <w:t xml:space="preserve">la conférence départementale des réseaux présidée par le représentant de l’Etat dans le département, que le projet de loi entend créer et qui a pour seule mission d’apprécier la cohérence de l’exercice des compétences des collectivités du département sur les sujets relatifs aux réseaux d’eau et d’assainissement, d’énergie et en lien avec les technologies numériques, ne dispose, comme l’indique l’étude d’impact et l’a confirmé le Gouvernement, </w:t>
      </w:r>
      <w:r>
        <w:rPr>
          <w:rFonts w:ascii="Trebuchet MS" w:hAnsi="Trebuchet MS"/>
          <w:i/>
          <w:iCs/>
          <w:u w:val="single"/>
        </w:rPr>
        <w:t>d’aucune compétence à caractère normatif</w:t>
      </w:r>
      <w:r>
        <w:rPr>
          <w:rFonts w:ascii="Trebuchet MS" w:hAnsi="Trebuchet MS"/>
          <w:i/>
          <w:iCs/>
        </w:rPr>
        <w:t xml:space="preserve">, ni ne peut émettre d’avis à caractère obligatoire. </w:t>
      </w:r>
      <w:r>
        <w:rPr>
          <w:rFonts w:ascii="Trebuchet MS" w:hAnsi="Trebuchet MS"/>
          <w:i/>
          <w:iCs/>
          <w:u w:val="single"/>
        </w:rPr>
        <w:t>Hormis pour supprimer l’article L.2224-31 du code général des collectivités territoriales ayant créé une conférence analogue, la création d’une telle commission n’appelle pas de disposition législative</w:t>
      </w:r>
      <w:r>
        <w:rPr>
          <w:rFonts w:ascii="Trebuchet MS" w:hAnsi="Trebuchet MS"/>
          <w:i/>
          <w:iCs/>
        </w:rPr>
        <w:t xml:space="preserve">. </w:t>
      </w:r>
      <w:r>
        <w:rPr>
          <w:rFonts w:ascii="Trebuchet MS" w:hAnsi="Trebuchet MS"/>
          <w:i/>
          <w:iCs/>
          <w:u w:val="single"/>
        </w:rPr>
        <w:t xml:space="preserve">Le Conseil d’Etat propose donc de ne pas retenir les dispositions envisagées dans le projet de loi et rappelle, à cet égard, l’importance de l’objectif de sobriété législative affirmé par le Gouvernement, qu’il partage et s’attache à mettre en </w:t>
      </w:r>
      <w:proofErr w:type="spellStart"/>
      <w:r>
        <w:rPr>
          <w:rFonts w:ascii="Trebuchet MS" w:hAnsi="Trebuchet MS"/>
          <w:i/>
          <w:iCs/>
          <w:u w:val="single"/>
        </w:rPr>
        <w:t>oeuvre</w:t>
      </w:r>
      <w:proofErr w:type="spellEnd"/>
      <w:r>
        <w:rPr>
          <w:rFonts w:ascii="Trebuchet MS" w:hAnsi="Trebuchet MS"/>
          <w:i/>
          <w:iCs/>
          <w:u w:val="single"/>
        </w:rPr>
        <w:t xml:space="preserve"> dans l’exercice de ses fonctions consultatives et dans le cadre de ses études.</w:t>
      </w:r>
      <w:r>
        <w:rPr>
          <w:rFonts w:ascii="Trebuchet MS" w:hAnsi="Trebuchet MS"/>
          <w:i/>
          <w:iCs/>
        </w:rPr>
        <w:t xml:space="preserve"> </w:t>
      </w:r>
      <w:r>
        <w:rPr>
          <w:rFonts w:ascii="Trebuchet MS" w:hAnsi="Trebuchet MS"/>
        </w:rPr>
        <w:t>»</w:t>
      </w:r>
    </w:p>
    <w:p w14:paraId="33BA5E65" w14:textId="77777777" w:rsidR="00EC1E98" w:rsidRDefault="00000000">
      <w:pPr>
        <w:jc w:val="both"/>
        <w:rPr>
          <w:rFonts w:ascii="Trebuchet MS" w:hAnsi="Trebuchet MS"/>
        </w:rPr>
      </w:pPr>
      <w:r>
        <w:rPr>
          <w:rFonts w:ascii="Trebuchet MS" w:hAnsi="Trebuchet MS"/>
        </w:rPr>
        <w:t>La FNCCR ne peut que regretter la décision du Gouvernement de ne pas suivre la recommandation du Conseil d’Etat et de maintenir l’article 5 sans aucune modification, quand bien même ses dispositions n’ont aucun caractère normatif hormis la suppression de la conférence d’élaboration du programme prévisionnel des investissements sur les réseaux de distribution d’électricité et de gaz déjà prévue à l’article L.2224-31 du CGCT.</w:t>
      </w:r>
    </w:p>
    <w:p w14:paraId="0FC41DBD" w14:textId="77777777" w:rsidR="00EC1E98" w:rsidRDefault="00000000">
      <w:pPr>
        <w:jc w:val="both"/>
        <w:rPr>
          <w:rFonts w:ascii="Trebuchet MS" w:hAnsi="Trebuchet MS"/>
        </w:rPr>
      </w:pPr>
      <w:r>
        <w:rPr>
          <w:rFonts w:ascii="Trebuchet MS" w:hAnsi="Trebuchet MS"/>
        </w:rPr>
        <w:t xml:space="preserve">L’avis du Conseil d’Etat est également très éclairant au sens où il met en exergue l’existence d’un écart entre le contenu de l’article 5 et ce qui est indiqué dans l’exposé des motifs de cet article, où il est indiqué que la conférence départementale des réseaux a pour objet de « </w:t>
      </w:r>
      <w:r>
        <w:rPr>
          <w:rFonts w:ascii="Trebuchet MS" w:hAnsi="Trebuchet MS"/>
          <w:i/>
          <w:iCs/>
        </w:rPr>
        <w:t>fédérer les acteurs exerçant des compétences dans les domaines de l’eau, de l’énergie et des technologies numériques et à constituer le cadre de référence du dialogue (stratégique en cas de gestion de crise) en matière de réseaux structurants</w:t>
      </w:r>
      <w:r>
        <w:rPr>
          <w:rFonts w:ascii="Trebuchet MS" w:hAnsi="Trebuchet MS"/>
        </w:rPr>
        <w:t xml:space="preserve"> » </w:t>
      </w:r>
    </w:p>
    <w:p w14:paraId="71B5955A" w14:textId="77777777" w:rsidR="00EC1E98" w:rsidRDefault="00000000">
      <w:pPr>
        <w:jc w:val="both"/>
        <w:rPr>
          <w:rFonts w:ascii="Trebuchet MS" w:hAnsi="Trebuchet MS"/>
        </w:rPr>
      </w:pPr>
      <w:r>
        <w:rPr>
          <w:rFonts w:ascii="Trebuchet MS" w:hAnsi="Trebuchet MS"/>
        </w:rPr>
        <w:t xml:space="preserve">Or l’article 5 ne comporte absolument aucune disposition normative au sujet de cette coordination de la gestion des réseaux de proximité en situation de crise, force est de le constater, cet objectif semblant passer très nettement au second plan par rapport à la reprise en main par l’Etat des investissements sur les réseaux de distribution d’énergie (y compris les réseaux de chaleur qui constituent également une compétence locale).    </w:t>
      </w:r>
    </w:p>
    <w:p w14:paraId="5E2F98A7" w14:textId="77777777" w:rsidR="00EC1E98" w:rsidRDefault="00EC1E98">
      <w:pPr>
        <w:jc w:val="both"/>
        <w:rPr>
          <w:rFonts w:ascii="Trebuchet MS" w:hAnsi="Trebuchet MS"/>
        </w:rPr>
      </w:pPr>
    </w:p>
    <w:p w14:paraId="63001B5A" w14:textId="77777777" w:rsidR="00EC1E98" w:rsidRDefault="00000000">
      <w:pPr>
        <w:shd w:val="clear" w:color="auto" w:fill="D9D9D9" w:themeFill="background1" w:themeFillShade="D9"/>
        <w:jc w:val="both"/>
        <w:rPr>
          <w:rFonts w:ascii="Trebuchet MS" w:hAnsi="Trebuchet MS"/>
          <w:b/>
          <w:bCs/>
        </w:rPr>
      </w:pPr>
      <w:r>
        <w:rPr>
          <w:rFonts w:ascii="Trebuchet MS" w:hAnsi="Trebuchet MS"/>
          <w:b/>
          <w:bCs/>
          <w:u w:val="single"/>
        </w:rPr>
        <w:t>A RETENIR</w:t>
      </w:r>
      <w:r>
        <w:rPr>
          <w:rFonts w:ascii="Trebuchet MS" w:hAnsi="Trebuchet MS"/>
          <w:b/>
          <w:bCs/>
        </w:rPr>
        <w:t> : l’avis rendu par le Conseil d’Etat illustre parfaitement l’écart qui existe entre les intentions non avouées du gouvernement et le contenu de l’article 5. Cet écart traduit ou plus exactement trahit une volonté de ne pas faire apparaître de manière trop visible le fait que, nonobstant l’absence de tout transfert de compétences, l’objectif prioritaire consiste à empiéter sur les prérogatives des autorités organisatrices des réseaux publics de distribution d’électricité et de gaz et l’exercice de leurs compétences, en plaçant les programmes prévisionnels d’investissement sur ces réseaux sous la tutelle de l’Etat, à travers la création d’une nouvelle conférence départementale des réseaux présidée par le préfet, qui ne constitue donc pas qu’un simple espace de réflexion et de concertation comme le gouvernement voudrait le faire croire.</w:t>
      </w:r>
    </w:p>
    <w:p w14:paraId="16263FFD" w14:textId="77777777" w:rsidR="00EC1E98" w:rsidRDefault="00EC1E98">
      <w:pPr>
        <w:jc w:val="both"/>
        <w:rPr>
          <w:rFonts w:ascii="Trebuchet MS" w:hAnsi="Trebuchet MS"/>
        </w:rPr>
      </w:pPr>
    </w:p>
    <w:p w14:paraId="54717CCA" w14:textId="77777777" w:rsidR="00EC1E98" w:rsidRDefault="00EC1E98">
      <w:pPr>
        <w:jc w:val="both"/>
        <w:rPr>
          <w:rFonts w:ascii="Trebuchet MS" w:hAnsi="Trebuchet MS"/>
        </w:rPr>
      </w:pPr>
    </w:p>
    <w:p w14:paraId="20CD2DD9" w14:textId="77777777" w:rsidR="00EC1E98" w:rsidRDefault="00EC1E98">
      <w:pPr>
        <w:jc w:val="both"/>
        <w:rPr>
          <w:rFonts w:ascii="Trebuchet MS" w:hAnsi="Trebuchet MS"/>
        </w:rPr>
      </w:pPr>
    </w:p>
    <w:p w14:paraId="7A6496D9" w14:textId="77777777" w:rsidR="00EC1E98" w:rsidRDefault="00EC1E98">
      <w:pPr>
        <w:rPr>
          <w:rFonts w:ascii="Trebuchet MS" w:hAnsi="Trebuchet MS"/>
        </w:rPr>
      </w:pPr>
    </w:p>
    <w:sectPr w:rsidR="00EC1E9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30180" w14:textId="77777777" w:rsidR="00651560" w:rsidRDefault="00651560">
      <w:pPr>
        <w:spacing w:after="0" w:line="240" w:lineRule="auto"/>
      </w:pPr>
      <w:r>
        <w:separator/>
      </w:r>
    </w:p>
  </w:endnote>
  <w:endnote w:type="continuationSeparator" w:id="0">
    <w:p w14:paraId="128F96A0" w14:textId="77777777" w:rsidR="00651560" w:rsidRDefault="00651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F4464" w14:textId="77777777" w:rsidR="00651560" w:rsidRDefault="00651560">
      <w:pPr>
        <w:spacing w:after="0" w:line="240" w:lineRule="auto"/>
      </w:pPr>
      <w:r>
        <w:separator/>
      </w:r>
    </w:p>
  </w:footnote>
  <w:footnote w:type="continuationSeparator" w:id="0">
    <w:p w14:paraId="19531144" w14:textId="77777777" w:rsidR="00651560" w:rsidRDefault="006515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E6574"/>
    <w:multiLevelType w:val="multilevel"/>
    <w:tmpl w:val="4ED46F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9C760A6"/>
    <w:multiLevelType w:val="multilevel"/>
    <w:tmpl w:val="03FA119E"/>
    <w:lvl w:ilvl="0">
      <w:numFmt w:val="bullet"/>
      <w:lvlText w:val="-"/>
      <w:lvlJc w:val="left"/>
      <w:pPr>
        <w:ind w:left="432" w:hanging="360"/>
      </w:pPr>
      <w:rPr>
        <w:rFonts w:ascii="Trebuchet MS" w:eastAsiaTheme="minorHAnsi" w:hAnsi="Trebuchet MS" w:cstheme="minorBidi" w:hint="default"/>
      </w:rPr>
    </w:lvl>
    <w:lvl w:ilvl="1">
      <w:start w:val="1"/>
      <w:numFmt w:val="bullet"/>
      <w:lvlText w:val="o"/>
      <w:lvlJc w:val="left"/>
      <w:pPr>
        <w:ind w:left="1152" w:hanging="360"/>
      </w:pPr>
      <w:rPr>
        <w:rFonts w:ascii="Courier New" w:hAnsi="Courier New" w:cs="Courier New" w:hint="default"/>
      </w:rPr>
    </w:lvl>
    <w:lvl w:ilvl="2">
      <w:start w:val="1"/>
      <w:numFmt w:val="bullet"/>
      <w:lvlText w:val=""/>
      <w:lvlJc w:val="left"/>
      <w:pPr>
        <w:ind w:left="1872" w:hanging="360"/>
      </w:pPr>
      <w:rPr>
        <w:rFonts w:ascii="Wingdings" w:hAnsi="Wingdings" w:hint="default"/>
      </w:rPr>
    </w:lvl>
    <w:lvl w:ilvl="3">
      <w:start w:val="1"/>
      <w:numFmt w:val="bullet"/>
      <w:lvlText w:val=""/>
      <w:lvlJc w:val="left"/>
      <w:pPr>
        <w:ind w:left="2592" w:hanging="360"/>
      </w:pPr>
      <w:rPr>
        <w:rFonts w:ascii="Symbol" w:hAnsi="Symbol" w:hint="default"/>
      </w:rPr>
    </w:lvl>
    <w:lvl w:ilvl="4">
      <w:start w:val="1"/>
      <w:numFmt w:val="bullet"/>
      <w:lvlText w:val="o"/>
      <w:lvlJc w:val="left"/>
      <w:pPr>
        <w:ind w:left="3312" w:hanging="360"/>
      </w:pPr>
      <w:rPr>
        <w:rFonts w:ascii="Courier New" w:hAnsi="Courier New" w:cs="Courier New" w:hint="default"/>
      </w:rPr>
    </w:lvl>
    <w:lvl w:ilvl="5">
      <w:start w:val="1"/>
      <w:numFmt w:val="bullet"/>
      <w:lvlText w:val=""/>
      <w:lvlJc w:val="left"/>
      <w:pPr>
        <w:ind w:left="4032" w:hanging="360"/>
      </w:pPr>
      <w:rPr>
        <w:rFonts w:ascii="Wingdings" w:hAnsi="Wingdings" w:hint="default"/>
      </w:rPr>
    </w:lvl>
    <w:lvl w:ilvl="6">
      <w:start w:val="1"/>
      <w:numFmt w:val="bullet"/>
      <w:lvlText w:val=""/>
      <w:lvlJc w:val="left"/>
      <w:pPr>
        <w:ind w:left="4752" w:hanging="360"/>
      </w:pPr>
      <w:rPr>
        <w:rFonts w:ascii="Symbol" w:hAnsi="Symbol" w:hint="default"/>
      </w:rPr>
    </w:lvl>
    <w:lvl w:ilvl="7">
      <w:start w:val="1"/>
      <w:numFmt w:val="bullet"/>
      <w:lvlText w:val="o"/>
      <w:lvlJc w:val="left"/>
      <w:pPr>
        <w:ind w:left="5472" w:hanging="360"/>
      </w:pPr>
      <w:rPr>
        <w:rFonts w:ascii="Courier New" w:hAnsi="Courier New" w:cs="Courier New" w:hint="default"/>
      </w:rPr>
    </w:lvl>
    <w:lvl w:ilvl="8">
      <w:start w:val="1"/>
      <w:numFmt w:val="bullet"/>
      <w:lvlText w:val=""/>
      <w:lvlJc w:val="left"/>
      <w:pPr>
        <w:ind w:left="6192" w:hanging="360"/>
      </w:pPr>
      <w:rPr>
        <w:rFonts w:ascii="Wingdings" w:hAnsi="Wingdings" w:hint="default"/>
      </w:rPr>
    </w:lvl>
  </w:abstractNum>
  <w:abstractNum w:abstractNumId="2" w15:restartNumberingAfterBreak="0">
    <w:nsid w:val="2EC509FF"/>
    <w:multiLevelType w:val="multilevel"/>
    <w:tmpl w:val="0908C0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BAD77FD"/>
    <w:multiLevelType w:val="multilevel"/>
    <w:tmpl w:val="5F7EBD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299705D"/>
    <w:multiLevelType w:val="multilevel"/>
    <w:tmpl w:val="8BFCBBD2"/>
    <w:lvl w:ilvl="0">
      <w:numFmt w:val="bullet"/>
      <w:lvlText w:val="-"/>
      <w:lvlJc w:val="left"/>
      <w:pPr>
        <w:ind w:left="720" w:hanging="360"/>
      </w:pPr>
      <w:rPr>
        <w:rFonts w:ascii="Aptos" w:eastAsiaTheme="minorHAnsi" w:hAnsi="Apto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6803378"/>
    <w:multiLevelType w:val="multilevel"/>
    <w:tmpl w:val="95CE67E6"/>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6" w15:restartNumberingAfterBreak="0">
    <w:nsid w:val="5BA92BFF"/>
    <w:multiLevelType w:val="multilevel"/>
    <w:tmpl w:val="78FE4B34"/>
    <w:lvl w:ilvl="0">
      <w:numFmt w:val="bullet"/>
      <w:lvlText w:val="-"/>
      <w:lvlJc w:val="left"/>
      <w:pPr>
        <w:ind w:left="720" w:hanging="360"/>
      </w:pPr>
      <w:rPr>
        <w:rFonts w:ascii="Aptos" w:eastAsiaTheme="minorHAnsi" w:hAnsi="Apto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CEB72C8"/>
    <w:multiLevelType w:val="multilevel"/>
    <w:tmpl w:val="E5F8FB3E"/>
    <w:lvl w:ilvl="0">
      <w:numFmt w:val="bullet"/>
      <w:lvlText w:val="-"/>
      <w:lvlJc w:val="left"/>
      <w:pPr>
        <w:ind w:left="720" w:hanging="360"/>
      </w:pPr>
      <w:rPr>
        <w:rFonts w:ascii="Aptos" w:eastAsiaTheme="minorHAnsi" w:hAnsi="Apto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8477D2F"/>
    <w:multiLevelType w:val="multilevel"/>
    <w:tmpl w:val="5CB89C28"/>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C1E5581"/>
    <w:multiLevelType w:val="multilevel"/>
    <w:tmpl w:val="81063D3A"/>
    <w:lvl w:ilvl="0">
      <w:numFmt w:val="bullet"/>
      <w:lvlText w:val="-"/>
      <w:lvlJc w:val="left"/>
      <w:pPr>
        <w:ind w:left="720" w:hanging="360"/>
      </w:pPr>
      <w:rPr>
        <w:rFonts w:ascii="Aptos" w:eastAsiaTheme="minorHAnsi" w:hAnsi="Apto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3415095">
    <w:abstractNumId w:val="6"/>
  </w:num>
  <w:num w:numId="2" w16cid:durableId="480195202">
    <w:abstractNumId w:val="7"/>
  </w:num>
  <w:num w:numId="3" w16cid:durableId="776944429">
    <w:abstractNumId w:val="4"/>
  </w:num>
  <w:num w:numId="4" w16cid:durableId="1387416025">
    <w:abstractNumId w:val="9"/>
  </w:num>
  <w:num w:numId="5" w16cid:durableId="1829638132">
    <w:abstractNumId w:val="0"/>
  </w:num>
  <w:num w:numId="6" w16cid:durableId="1560748797">
    <w:abstractNumId w:val="8"/>
  </w:num>
  <w:num w:numId="7" w16cid:durableId="1865095102">
    <w:abstractNumId w:val="1"/>
  </w:num>
  <w:num w:numId="8" w16cid:durableId="505637358">
    <w:abstractNumId w:val="3"/>
  </w:num>
  <w:num w:numId="9" w16cid:durableId="147137049">
    <w:abstractNumId w:val="5"/>
  </w:num>
  <w:num w:numId="10" w16cid:durableId="83956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E98"/>
    <w:rsid w:val="002F65CC"/>
    <w:rsid w:val="00651560"/>
    <w:rsid w:val="00EC1E98"/>
    <w:rsid w:val="00EE34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A35A7"/>
  <w15:docId w15:val="{F98BF2B7-8D4B-4EDA-A77F-6E137827F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0" w:space="0" w:color="auto"/>
          <w:left w:val="none" w:sz="0" w:space="0" w:color="auto"/>
          <w:bottom w:val="single" w:sz="4" w:space="0" w:color="63BDE6" w:themeColor="accent1" w:themeTint="80"/>
          <w:right w:val="none" w:sz="0" w:space="0" w:color="auto"/>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0" w:space="0" w:color="auto"/>
          <w:left w:val="none" w:sz="0" w:space="0" w:color="auto"/>
          <w:bottom w:val="none" w:sz="0" w:space="0" w:color="auto"/>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0" w:space="0" w:color="auto"/>
          <w:left w:val="single" w:sz="4" w:space="0" w:color="63BDE6" w:themeColor="accent1" w:themeTint="80"/>
          <w:bottom w:val="none" w:sz="0" w:space="0" w:color="auto"/>
          <w:right w:val="none" w:sz="0" w:space="0" w:color="auto"/>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0" w:space="0" w:color="auto"/>
          <w:left w:val="none" w:sz="0" w:space="0" w:color="auto"/>
          <w:bottom w:val="single" w:sz="4" w:space="0" w:color="196C24" w:themeColor="accent3" w:themeTint="FE"/>
          <w:right w:val="none" w:sz="0" w:space="0" w:color="auto"/>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0" w:space="0" w:color="auto"/>
          <w:left w:val="none" w:sz="0" w:space="0" w:color="auto"/>
          <w:bottom w:val="none" w:sz="0" w:space="0" w:color="auto"/>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0" w:space="0" w:color="auto"/>
          <w:left w:val="single" w:sz="4" w:space="0" w:color="196C24" w:themeColor="accent3" w:themeTint="FE"/>
          <w:bottom w:val="none" w:sz="0" w:space="0" w:color="auto"/>
          <w:right w:val="none" w:sz="0" w:space="0" w:color="auto"/>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0" w:space="0" w:color="auto"/>
          <w:left w:val="none" w:sz="0" w:space="0" w:color="auto"/>
          <w:bottom w:val="single" w:sz="4" w:space="0" w:color="DA76CE" w:themeColor="accent5" w:themeTint="90"/>
          <w:right w:val="none" w:sz="0" w:space="0" w:color="auto"/>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0" w:space="0" w:color="auto"/>
          <w:left w:val="none" w:sz="0" w:space="0" w:color="auto"/>
          <w:bottom w:val="none" w:sz="0" w:space="0" w:color="auto"/>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0" w:space="0" w:color="auto"/>
          <w:left w:val="single" w:sz="4" w:space="0" w:color="DA76CE" w:themeColor="accent5" w:themeTint="90"/>
          <w:bottom w:val="none" w:sz="0" w:space="0" w:color="auto"/>
          <w:right w:val="none" w:sz="0" w:space="0" w:color="auto"/>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0" w:space="0" w:color="auto"/>
          <w:left w:val="none" w:sz="0" w:space="0" w:color="auto"/>
          <w:bottom w:val="single" w:sz="4" w:space="0" w:color="94DA7B" w:themeColor="accent6" w:themeTint="90"/>
          <w:right w:val="none" w:sz="0" w:space="0" w:color="auto"/>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0" w:space="0" w:color="auto"/>
          <w:left w:val="none" w:sz="0" w:space="0" w:color="auto"/>
          <w:bottom w:val="none" w:sz="0" w:space="0" w:color="auto"/>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0" w:space="0" w:color="auto"/>
          <w:left w:val="single" w:sz="4" w:space="0" w:color="94DA7B" w:themeColor="accent6" w:themeTint="90"/>
          <w:bottom w:val="none" w:sz="0" w:space="0" w:color="auto"/>
          <w:right w:val="none" w:sz="0" w:space="0" w:color="auto"/>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0" w:space="0" w:color="auto"/>
          <w:left w:val="none" w:sz="0" w:space="0" w:color="auto"/>
          <w:bottom w:val="single" w:sz="4" w:space="0" w:color="156082" w:themeColor="accent1"/>
          <w:right w:val="none" w:sz="0" w:space="0" w:color="auto"/>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0" w:space="0" w:color="auto"/>
          <w:left w:val="none" w:sz="0" w:space="0" w:color="auto"/>
          <w:bottom w:val="none" w:sz="0" w:space="0" w:color="auto"/>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0" w:space="0" w:color="auto"/>
          <w:left w:val="single" w:sz="4" w:space="0" w:color="156082" w:themeColor="accent1"/>
          <w:bottom w:val="none" w:sz="0" w:space="0" w:color="auto"/>
          <w:right w:val="none" w:sz="0" w:space="0" w:color="auto"/>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0" w:space="0" w:color="auto"/>
          <w:left w:val="none" w:sz="0" w:space="0" w:color="auto"/>
          <w:bottom w:val="single" w:sz="4" w:space="0" w:color="48D45B" w:themeColor="accent3" w:themeTint="98"/>
          <w:right w:val="none" w:sz="0" w:space="0" w:color="auto"/>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0" w:space="0" w:color="auto"/>
          <w:left w:val="none" w:sz="0" w:space="0" w:color="auto"/>
          <w:bottom w:val="none" w:sz="0" w:space="0" w:color="auto"/>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0" w:space="0" w:color="auto"/>
          <w:left w:val="single" w:sz="4" w:space="0" w:color="48D45B" w:themeColor="accent3" w:themeTint="98"/>
          <w:bottom w:val="none" w:sz="0" w:space="0" w:color="auto"/>
          <w:right w:val="none" w:sz="0" w:space="0" w:color="auto"/>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0" w:space="0" w:color="auto"/>
          <w:left w:val="none" w:sz="0" w:space="0" w:color="auto"/>
          <w:bottom w:val="single" w:sz="4" w:space="0" w:color="D76CCB" w:themeColor="accent5" w:themeTint="9A"/>
          <w:right w:val="none" w:sz="0" w:space="0" w:color="auto"/>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0" w:space="0" w:color="auto"/>
          <w:left w:val="none" w:sz="0" w:space="0" w:color="auto"/>
          <w:bottom w:val="none" w:sz="0" w:space="0" w:color="auto"/>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0" w:space="0" w:color="auto"/>
          <w:left w:val="single" w:sz="4" w:space="0" w:color="D76CCB" w:themeColor="accent5" w:themeTint="9A"/>
          <w:bottom w:val="none" w:sz="0" w:space="0" w:color="auto"/>
          <w:right w:val="none" w:sz="0" w:space="0" w:color="auto"/>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0" w:space="0" w:color="auto"/>
          <w:left w:val="none" w:sz="0" w:space="0" w:color="auto"/>
          <w:bottom w:val="single" w:sz="4" w:space="0" w:color="8ED873" w:themeColor="accent6" w:themeTint="98"/>
          <w:right w:val="none" w:sz="0" w:space="0" w:color="auto"/>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0" w:space="0" w:color="auto"/>
          <w:left w:val="none" w:sz="0" w:space="0" w:color="auto"/>
          <w:bottom w:val="none" w:sz="0" w:space="0" w:color="auto"/>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0" w:space="0" w:color="auto"/>
          <w:left w:val="single" w:sz="4" w:space="0" w:color="8ED873" w:themeColor="accent6" w:themeTint="98"/>
          <w:bottom w:val="none" w:sz="0" w:space="0" w:color="auto"/>
          <w:right w:val="none" w:sz="0" w:space="0" w:color="auto"/>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customStyle="1" w:styleId="Heading1Char">
    <w:name w:val="Heading 1 Char"/>
    <w:basedOn w:val="Policepardfaut"/>
    <w:uiPriority w:val="9"/>
    <w:rPr>
      <w:rFonts w:ascii="Arial" w:eastAsia="Arial" w:hAnsi="Arial" w:cs="Arial"/>
      <w:color w:val="0F4761" w:themeColor="accent1" w:themeShade="BF"/>
      <w:sz w:val="40"/>
      <w:szCs w:val="40"/>
    </w:rPr>
  </w:style>
  <w:style w:type="character" w:customStyle="1" w:styleId="Heading2Char">
    <w:name w:val="Heading 2 Char"/>
    <w:basedOn w:val="Policepardfaut"/>
    <w:uiPriority w:val="9"/>
    <w:rPr>
      <w:rFonts w:ascii="Arial" w:eastAsia="Arial" w:hAnsi="Arial" w:cs="Arial"/>
      <w:color w:val="0F4761" w:themeColor="accent1" w:themeShade="BF"/>
      <w:sz w:val="32"/>
      <w:szCs w:val="32"/>
    </w:rPr>
  </w:style>
  <w:style w:type="character" w:customStyle="1" w:styleId="Heading3Char">
    <w:name w:val="Heading 3 Char"/>
    <w:basedOn w:val="Policepardfaut"/>
    <w:uiPriority w:val="9"/>
    <w:rPr>
      <w:rFonts w:ascii="Arial" w:eastAsia="Arial" w:hAnsi="Arial" w:cs="Arial"/>
      <w:color w:val="0F4761" w:themeColor="accent1" w:themeShade="BF"/>
      <w:sz w:val="28"/>
      <w:szCs w:val="28"/>
    </w:rPr>
  </w:style>
  <w:style w:type="character" w:customStyle="1" w:styleId="Heading4Char">
    <w:name w:val="Heading 4 Char"/>
    <w:basedOn w:val="Policepardfaut"/>
    <w:uiPriority w:val="9"/>
    <w:rPr>
      <w:rFonts w:ascii="Arial" w:eastAsia="Arial" w:hAnsi="Arial" w:cs="Arial"/>
      <w:i/>
      <w:iCs/>
      <w:color w:val="0F4761" w:themeColor="accent1" w:themeShade="BF"/>
    </w:rPr>
  </w:style>
  <w:style w:type="character" w:customStyle="1" w:styleId="Heading5Char">
    <w:name w:val="Heading 5 Char"/>
    <w:basedOn w:val="Policepardfaut"/>
    <w:uiPriority w:val="9"/>
    <w:rPr>
      <w:rFonts w:ascii="Arial" w:eastAsia="Arial" w:hAnsi="Arial" w:cs="Arial"/>
      <w:color w:val="0F4761" w:themeColor="accent1" w:themeShade="BF"/>
    </w:rPr>
  </w:style>
  <w:style w:type="character" w:customStyle="1" w:styleId="Heading6Char">
    <w:name w:val="Heading 6 Char"/>
    <w:basedOn w:val="Policepardfaut"/>
    <w:uiPriority w:val="9"/>
    <w:rPr>
      <w:rFonts w:ascii="Arial" w:eastAsia="Arial" w:hAnsi="Arial" w:cs="Arial"/>
      <w:i/>
      <w:iCs/>
      <w:color w:val="595959" w:themeColor="text1" w:themeTint="A6"/>
    </w:rPr>
  </w:style>
  <w:style w:type="character" w:customStyle="1" w:styleId="Heading7Char">
    <w:name w:val="Heading 7 Char"/>
    <w:basedOn w:val="Policepardfaut"/>
    <w:uiPriority w:val="9"/>
    <w:rPr>
      <w:rFonts w:ascii="Arial" w:eastAsia="Arial" w:hAnsi="Arial" w:cs="Arial"/>
      <w:color w:val="595959" w:themeColor="text1" w:themeTint="A6"/>
    </w:rPr>
  </w:style>
  <w:style w:type="character" w:customStyle="1" w:styleId="Heading8Char">
    <w:name w:val="Heading 8 Char"/>
    <w:basedOn w:val="Policepardfaut"/>
    <w:uiPriority w:val="9"/>
    <w:rPr>
      <w:rFonts w:ascii="Arial" w:eastAsia="Arial" w:hAnsi="Arial" w:cs="Arial"/>
      <w:i/>
      <w:iCs/>
      <w:color w:val="272727" w:themeColor="text1" w:themeTint="D8"/>
    </w:rPr>
  </w:style>
  <w:style w:type="character" w:customStyle="1" w:styleId="Heading9Char">
    <w:name w:val="Heading 9 Char"/>
    <w:basedOn w:val="Policepardfaut"/>
    <w:uiPriority w:val="9"/>
    <w:rPr>
      <w:rFonts w:ascii="Arial" w:eastAsia="Arial" w:hAnsi="Arial" w:cs="Arial"/>
      <w:i/>
      <w:iCs/>
      <w:color w:val="272727" w:themeColor="text1" w:themeTint="D8"/>
    </w:rPr>
  </w:style>
  <w:style w:type="character" w:customStyle="1" w:styleId="TitleChar">
    <w:name w:val="Title Char"/>
    <w:basedOn w:val="Policepardfaut"/>
    <w:uiPriority w:val="10"/>
    <w:rPr>
      <w:rFonts w:ascii="Arial" w:eastAsia="Arial" w:hAnsi="Arial" w:cs="Arial"/>
      <w:spacing w:val="-10"/>
      <w:sz w:val="56"/>
      <w:szCs w:val="56"/>
    </w:rPr>
  </w:style>
  <w:style w:type="character" w:customStyle="1" w:styleId="SubtitleChar">
    <w:name w:val="Subtitle Char"/>
    <w:basedOn w:val="Policepardfaut"/>
    <w:uiPriority w:val="11"/>
    <w:rPr>
      <w:color w:val="595959" w:themeColor="text1" w:themeTint="A6"/>
      <w:spacing w:val="15"/>
      <w:sz w:val="28"/>
      <w:szCs w:val="28"/>
    </w:rPr>
  </w:style>
  <w:style w:type="character" w:customStyle="1" w:styleId="QuoteChar">
    <w:name w:val="Quote Char"/>
    <w:basedOn w:val="Policepardfaut"/>
    <w:uiPriority w:val="29"/>
    <w:rPr>
      <w:i/>
      <w:iCs/>
      <w:color w:val="404040" w:themeColor="text1" w:themeTint="BF"/>
    </w:rPr>
  </w:style>
  <w:style w:type="character" w:customStyle="1" w:styleId="IntenseQuoteChar">
    <w:name w:val="Intense Quote Char"/>
    <w:basedOn w:val="Policepardfaut"/>
    <w:uiPriority w:val="30"/>
    <w:rPr>
      <w:i/>
      <w:iCs/>
      <w:color w:val="0F4761" w:themeColor="accent1" w:themeShade="BF"/>
    </w:rPr>
  </w:style>
  <w:style w:type="paragraph" w:styleId="Sansinterligne">
    <w:name w:val="No Spacing"/>
    <w:basedOn w:val="Normal"/>
    <w:uiPriority w:val="1"/>
    <w:qFormat/>
    <w:pPr>
      <w:spacing w:after="0" w:line="240" w:lineRule="auto"/>
    </w:pPr>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paragraph" w:styleId="En-tte">
    <w:name w:val="header"/>
    <w:basedOn w:val="Normal"/>
    <w:link w:val="En-tteCar"/>
    <w:uiPriority w:val="99"/>
    <w:unhideWhenUsed/>
    <w:pPr>
      <w:tabs>
        <w:tab w:val="center" w:pos="4844"/>
        <w:tab w:val="right" w:pos="9689"/>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844"/>
        <w:tab w:val="right" w:pos="9689"/>
      </w:tabs>
      <w:spacing w:after="0" w:line="240" w:lineRule="auto"/>
    </w:pPr>
  </w:style>
  <w:style w:type="character" w:customStyle="1" w:styleId="PieddepageCar">
    <w:name w:val="Pied de page Car"/>
    <w:basedOn w:val="Policepardfaut"/>
    <w:link w:val="Pieddepage"/>
    <w:uiPriority w:val="99"/>
  </w:style>
  <w:style w:type="paragraph" w:styleId="Lgende">
    <w:name w:val="caption"/>
    <w:basedOn w:val="Normal"/>
    <w:next w:val="Normal"/>
    <w:uiPriority w:val="35"/>
    <w:unhideWhenUsed/>
    <w:qFormat/>
    <w:pPr>
      <w:spacing w:after="200" w:line="240" w:lineRule="auto"/>
    </w:pPr>
    <w:rPr>
      <w:i/>
      <w:iCs/>
      <w:color w:val="0E2841" w:themeColor="text2"/>
      <w:sz w:val="18"/>
      <w:szCs w:val="18"/>
    </w:rPr>
  </w:style>
  <w:style w:type="paragraph" w:styleId="Notedebasdepage">
    <w:name w:val="footnote text"/>
    <w:basedOn w:val="Normal"/>
    <w:link w:val="NotedebasdepageCar"/>
    <w:uiPriority w:val="99"/>
    <w:semiHidden/>
    <w:unhideWhenUsed/>
    <w:pPr>
      <w:spacing w:after="0" w:line="240" w:lineRule="auto"/>
    </w:pPr>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
    <w:name w:val="Hyperlink"/>
    <w:basedOn w:val="Policepardfaut"/>
    <w:uiPriority w:val="99"/>
    <w:unhideWhenUsed/>
    <w:rPr>
      <w:color w:val="467886" w:themeColor="hyperlink"/>
      <w:u w:val="single"/>
    </w:rPr>
  </w:style>
  <w:style w:type="character" w:styleId="Lienhypertextesuivivisit">
    <w:name w:val="FollowedHyperlink"/>
    <w:basedOn w:val="Policepardfaut"/>
    <w:uiPriority w:val="99"/>
    <w:semiHidden/>
    <w:unhideWhenUsed/>
    <w:rPr>
      <w:color w:val="96607D" w:themeColor="followedHyperlink"/>
      <w:u w:val="single"/>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character" w:styleId="Textedelespacerserv">
    <w:name w:val="Placeholder Text"/>
    <w:basedOn w:val="Policepardfaut"/>
    <w:uiPriority w:val="99"/>
    <w:semiHidden/>
    <w:rPr>
      <w:color w:val="666666"/>
    </w:r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character" w:customStyle="1" w:styleId="Titre1Car">
    <w:name w:val="Titre 1 Car"/>
    <w:basedOn w:val="Policepardfaut"/>
    <w:link w:val="Titre1"/>
    <w:uiPriority w:val="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Pr>
      <w:rFonts w:eastAsiaTheme="majorEastAsia" w:cstheme="majorBidi"/>
      <w:color w:val="0F4761" w:themeColor="accent1" w:themeShade="BF"/>
    </w:rPr>
  </w:style>
  <w:style w:type="character" w:customStyle="1" w:styleId="Titre6Car">
    <w:name w:val="Titre 6 Car"/>
    <w:basedOn w:val="Policepardfaut"/>
    <w:link w:val="Titre6"/>
    <w:uiPriority w:val="9"/>
    <w:semiHidden/>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Pr>
      <w:rFonts w:eastAsiaTheme="majorEastAsia" w:cstheme="majorBidi"/>
      <w:color w:val="595959" w:themeColor="text1" w:themeTint="A6"/>
    </w:rPr>
  </w:style>
  <w:style w:type="character" w:customStyle="1" w:styleId="Titre8Car">
    <w:name w:val="Titre 8 Car"/>
    <w:basedOn w:val="Policepardfaut"/>
    <w:link w:val="Titre8"/>
    <w:uiPriority w:val="9"/>
    <w:semiHidden/>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Pr>
      <w:rFonts w:eastAsiaTheme="majorEastAsia" w:cstheme="majorBidi"/>
      <w:color w:val="272727" w:themeColor="text1" w:themeTint="D8"/>
    </w:rPr>
  </w:style>
  <w:style w:type="paragraph" w:styleId="Titre">
    <w:name w:val="Title"/>
    <w:basedOn w:val="Normal"/>
    <w:next w:val="Normal"/>
    <w:link w:val="TitreCar"/>
    <w:uiPriority w:val="10"/>
    <w:qFormat/>
    <w:pPr>
      <w:spacing w:after="80" w:line="240" w:lineRule="auto"/>
      <w:contextualSpacing/>
    </w:pPr>
    <w:rPr>
      <w:rFonts w:asciiTheme="majorHAnsi" w:eastAsiaTheme="majorEastAsia" w:hAnsiTheme="majorHAnsi" w:cstheme="majorBidi"/>
      <w:spacing w:val="-10"/>
      <w:sz w:val="56"/>
      <w:szCs w:val="56"/>
    </w:rPr>
  </w:style>
  <w:style w:type="character" w:customStyle="1" w:styleId="TitreCar">
    <w:name w:val="Titre Car"/>
    <w:basedOn w:val="Policepardfaut"/>
    <w:link w:val="Titre"/>
    <w:uiPriority w:val="10"/>
    <w:rPr>
      <w:rFonts w:asciiTheme="majorHAnsi" w:eastAsiaTheme="majorEastAsia" w:hAnsiTheme="majorHAnsi" w:cstheme="majorBidi"/>
      <w:spacing w:val="-10"/>
      <w:sz w:val="56"/>
      <w:szCs w:val="56"/>
    </w:rPr>
  </w:style>
  <w:style w:type="paragraph" w:styleId="Sous-titre">
    <w:name w:val="Subtitle"/>
    <w:basedOn w:val="Normal"/>
    <w:next w:val="Normal"/>
    <w:link w:val="Sous-titreCar"/>
    <w:uiPriority w:val="11"/>
    <w:qFormat/>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paragraph" w:styleId="Paragraphedeliste">
    <w:name w:val="List Paragraph"/>
    <w:basedOn w:val="Normal"/>
    <w:uiPriority w:val="34"/>
    <w:qFormat/>
    <w:pPr>
      <w:ind w:left="720"/>
      <w:contextualSpacing/>
    </w:pPr>
  </w:style>
  <w:style w:type="character" w:styleId="Accentuationintense">
    <w:name w:val="Intense Emphasis"/>
    <w:basedOn w:val="Policepardfaut"/>
    <w:uiPriority w:val="21"/>
    <w:qFormat/>
    <w:rPr>
      <w:i/>
      <w:iCs/>
      <w:color w:val="0F4761" w:themeColor="accent1" w:themeShade="BF"/>
    </w:rPr>
  </w:style>
  <w:style w:type="paragraph" w:styleId="Citationintense">
    <w:name w:val="Intense Quote"/>
    <w:basedOn w:val="Normal"/>
    <w:next w:val="Normal"/>
    <w:link w:val="CitationintenseC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Pr>
      <w:i/>
      <w:iCs/>
      <w:color w:val="0F4761" w:themeColor="accent1" w:themeShade="BF"/>
    </w:rPr>
  </w:style>
  <w:style w:type="character" w:styleId="Rfrenceintense">
    <w:name w:val="Intense Reference"/>
    <w:basedOn w:val="Policepardfaut"/>
    <w:uiPriority w:val="32"/>
    <w:qFormat/>
    <w:rPr>
      <w:b/>
      <w:bCs/>
      <w:smallCaps/>
      <w:color w:val="0F4761" w:themeColor="accent1" w:themeShade="BF"/>
      <w:spacing w:val="5"/>
    </w:rPr>
  </w:style>
  <w:style w:type="paragraph" w:styleId="NormalWeb">
    <w:name w:val="Normal (Web)"/>
    <w:basedOn w:val="Normal"/>
    <w:uiPriority w:val="99"/>
    <w:semiHidden/>
    <w:unhideWhenUse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57684-EC62-4CDC-B72B-6ED11BFD2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2073</Words>
  <Characters>11407</Characters>
  <Application>Microsoft Office Word</Application>
  <DocSecurity>0</DocSecurity>
  <Lines>95</Lines>
  <Paragraphs>26</Paragraphs>
  <ScaleCrop>false</ScaleCrop>
  <Company/>
  <LinksUpToDate>false</LinksUpToDate>
  <CharactersWithSpaces>13454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BEAUVISAGE</dc:creator>
  <cp:keywords/>
  <dc:description/>
  <cp:lastModifiedBy>Jean Michel Jeannin</cp:lastModifiedBy>
  <cp:revision>2</cp:revision>
  <dcterms:created xsi:type="dcterms:W3CDTF">2026-06-09T17:13:00Z</dcterms:created>
  <dcterms:modified xsi:type="dcterms:W3CDTF">2026-06-09T17:13:00Z</dcterms:modified>
</cp:coreProperties>
</file>